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4F" w:rsidRPr="004260E2" w:rsidRDefault="004260E2">
      <w:pPr>
        <w:rPr>
          <w:b/>
        </w:rPr>
      </w:pPr>
      <w:r w:rsidRPr="004260E2">
        <w:rPr>
          <w:b/>
        </w:rPr>
        <w:t>Leeswijzer radargrafiek</w:t>
      </w:r>
    </w:p>
    <w:p w:rsidR="004260E2" w:rsidRDefault="004260E2">
      <w:r>
        <w:t>In de radargrafiek kun je aflezen in hoeverre de leerling op weg is naar de eindd</w:t>
      </w:r>
      <w:r w:rsidR="003A46F1">
        <w:t xml:space="preserve">oelen van groep 2. </w:t>
      </w:r>
      <w:r>
        <w:t>Dit kun je aflezen aan de percentages op de middenas. Een percentage van 100% wil zeggen dat de leerling gemiddeld genomen de doelen van deze ontwikkelingslijn op eind groep 2 niveau beheerst.</w:t>
      </w:r>
    </w:p>
    <w:p w:rsidR="003A46F1" w:rsidRDefault="003A46F1">
      <w:r>
        <w:t>Langs de rand staan de afkortingen van de ontwikkelingslijnen.*</w:t>
      </w:r>
    </w:p>
    <w:p w:rsidR="00584562" w:rsidRDefault="003A46F1">
      <w:r w:rsidRPr="004260E2">
        <w:drawing>
          <wp:anchor distT="0" distB="0" distL="114300" distR="114300" simplePos="0" relativeHeight="251658240" behindDoc="0" locked="0" layoutInCell="1" allowOverlap="1" wp14:anchorId="186BF5FE" wp14:editId="00C8C6A0">
            <wp:simplePos x="0" y="0"/>
            <wp:positionH relativeFrom="column">
              <wp:posOffset>982980</wp:posOffset>
            </wp:positionH>
            <wp:positionV relativeFrom="paragraph">
              <wp:posOffset>645160</wp:posOffset>
            </wp:positionV>
            <wp:extent cx="2938780" cy="3167380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78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562">
        <w:t xml:space="preserve">De buitenste radarlijn geeft de huidige situatie weer. De binnenste lijn </w:t>
      </w:r>
      <w:r>
        <w:t xml:space="preserve">geeft </w:t>
      </w:r>
      <w:r w:rsidR="00584562">
        <w:t>de beginsituatie van de aangegeven periode.</w:t>
      </w:r>
      <w:r w:rsidRPr="003A46F1">
        <w:t xml:space="preserve"> </w:t>
      </w:r>
      <w:bookmarkStart w:id="0" w:name="_GoBack"/>
      <w:bookmarkEnd w:id="0"/>
    </w:p>
    <w:p w:rsidR="004260E2" w:rsidRDefault="004260E2"/>
    <w:p w:rsidR="003A46F1" w:rsidRDefault="003A46F1">
      <w:r>
        <w:t>In bovenstaand voorbeeld zie je dat de leerling sterk ontwikkeld is qua Motoriek (FM en GM) en nog iets minder sterk is in Tellen &amp; Getalbegrip (TG) en Betrokkenheid &amp; Concentratie (BT). Al is die betrokkenheid wel enorm vooruitgegaan sinds de start van dit schooljaar.</w:t>
      </w:r>
    </w:p>
    <w:p w:rsidR="003A46F1" w:rsidRPr="0086302F" w:rsidRDefault="003A46F1" w:rsidP="003A46F1">
      <w:pPr>
        <w:rPr>
          <w:b/>
        </w:rPr>
      </w:pPr>
      <w:r>
        <w:rPr>
          <w:b/>
        </w:rPr>
        <w:t xml:space="preserve">* </w:t>
      </w:r>
      <w:r w:rsidRPr="0086302F">
        <w:rPr>
          <w:b/>
        </w:rPr>
        <w:t>Gebruikte afkortingen</w:t>
      </w:r>
      <w:r>
        <w:rPr>
          <w:b/>
        </w:rPr>
        <w:t xml:space="preserve"> voor de ontwikkelingslijnen</w:t>
      </w:r>
      <w:r w:rsidRPr="0086302F">
        <w:rPr>
          <w:b/>
        </w:rPr>
        <w:t>:</w:t>
      </w:r>
    </w:p>
    <w:tbl>
      <w:tblPr>
        <w:tblStyle w:val="Tabel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"/>
        <w:gridCol w:w="3413"/>
        <w:gridCol w:w="706"/>
        <w:gridCol w:w="2733"/>
      </w:tblGrid>
      <w:tr w:rsidR="003A46F1" w:rsidRPr="0086302F" w:rsidTr="003A46F1">
        <w:trPr>
          <w:trHeight w:val="337"/>
        </w:trPr>
        <w:tc>
          <w:tcPr>
            <w:tcW w:w="796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TG</w:t>
            </w:r>
          </w:p>
        </w:tc>
        <w:tc>
          <w:tcPr>
            <w:tcW w:w="3413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tellen &amp; getalbegrip</w:t>
            </w:r>
          </w:p>
        </w:tc>
        <w:tc>
          <w:tcPr>
            <w:tcW w:w="706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FM</w:t>
            </w:r>
          </w:p>
        </w:tc>
        <w:tc>
          <w:tcPr>
            <w:tcW w:w="2733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fijne motoriek</w:t>
            </w:r>
          </w:p>
        </w:tc>
      </w:tr>
      <w:tr w:rsidR="003A46F1" w:rsidRPr="0086302F" w:rsidTr="003A46F1">
        <w:trPr>
          <w:trHeight w:val="337"/>
        </w:trPr>
        <w:tc>
          <w:tcPr>
            <w:tcW w:w="796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MMK</w:t>
            </w:r>
          </w:p>
        </w:tc>
        <w:tc>
          <w:tcPr>
            <w:tcW w:w="3413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meten &amp; meetkunde</w:t>
            </w:r>
          </w:p>
        </w:tc>
        <w:tc>
          <w:tcPr>
            <w:tcW w:w="706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WG</w:t>
            </w:r>
          </w:p>
        </w:tc>
        <w:tc>
          <w:tcPr>
            <w:tcW w:w="2733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welbevinden &amp; gevoelens</w:t>
            </w:r>
          </w:p>
        </w:tc>
      </w:tr>
      <w:tr w:rsidR="003A46F1" w:rsidRPr="0086302F" w:rsidTr="003A46F1">
        <w:trPr>
          <w:trHeight w:val="337"/>
        </w:trPr>
        <w:tc>
          <w:tcPr>
            <w:tcW w:w="796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OG</w:t>
            </w:r>
          </w:p>
        </w:tc>
        <w:tc>
          <w:tcPr>
            <w:tcW w:w="3413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ontluikende geletterdheid</w:t>
            </w:r>
          </w:p>
        </w:tc>
        <w:tc>
          <w:tcPr>
            <w:tcW w:w="706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ZH</w:t>
            </w:r>
          </w:p>
        </w:tc>
        <w:tc>
          <w:tcPr>
            <w:tcW w:w="2733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zelfstandigheid</w:t>
            </w:r>
          </w:p>
        </w:tc>
      </w:tr>
      <w:tr w:rsidR="003A46F1" w:rsidRPr="0086302F" w:rsidTr="003A46F1">
        <w:trPr>
          <w:trHeight w:val="337"/>
        </w:trPr>
        <w:tc>
          <w:tcPr>
            <w:tcW w:w="796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MT</w:t>
            </w:r>
          </w:p>
        </w:tc>
        <w:tc>
          <w:tcPr>
            <w:tcW w:w="3413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mondeling taalgebruik</w:t>
            </w:r>
          </w:p>
        </w:tc>
        <w:tc>
          <w:tcPr>
            <w:tcW w:w="706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BT</w:t>
            </w:r>
          </w:p>
        </w:tc>
        <w:tc>
          <w:tcPr>
            <w:tcW w:w="2733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betrokkenheid &amp; concentratie</w:t>
            </w:r>
          </w:p>
        </w:tc>
      </w:tr>
      <w:tr w:rsidR="003A46F1" w:rsidRPr="0086302F" w:rsidTr="003A46F1">
        <w:trPr>
          <w:trHeight w:val="337"/>
        </w:trPr>
        <w:tc>
          <w:tcPr>
            <w:tcW w:w="796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AL</w:t>
            </w:r>
          </w:p>
        </w:tc>
        <w:tc>
          <w:tcPr>
            <w:tcW w:w="3413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aanvankelijk lezen</w:t>
            </w:r>
          </w:p>
        </w:tc>
        <w:tc>
          <w:tcPr>
            <w:tcW w:w="706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SW</w:t>
            </w:r>
          </w:p>
        </w:tc>
        <w:tc>
          <w:tcPr>
            <w:tcW w:w="2733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samenwerken</w:t>
            </w:r>
          </w:p>
        </w:tc>
      </w:tr>
      <w:tr w:rsidR="003A46F1" w:rsidRPr="0086302F" w:rsidTr="003A46F1">
        <w:trPr>
          <w:trHeight w:val="337"/>
        </w:trPr>
        <w:tc>
          <w:tcPr>
            <w:tcW w:w="796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AS</w:t>
            </w:r>
          </w:p>
        </w:tc>
        <w:tc>
          <w:tcPr>
            <w:tcW w:w="3413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aanvankelijk schrijven</w:t>
            </w:r>
          </w:p>
        </w:tc>
        <w:tc>
          <w:tcPr>
            <w:tcW w:w="706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SP</w:t>
            </w:r>
          </w:p>
        </w:tc>
        <w:tc>
          <w:tcPr>
            <w:tcW w:w="2733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spelontwikkeling</w:t>
            </w:r>
          </w:p>
        </w:tc>
      </w:tr>
      <w:tr w:rsidR="003A46F1" w:rsidRPr="0086302F" w:rsidTr="003A46F1">
        <w:trPr>
          <w:trHeight w:val="337"/>
        </w:trPr>
        <w:tc>
          <w:tcPr>
            <w:tcW w:w="796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GM</w:t>
            </w:r>
          </w:p>
        </w:tc>
        <w:tc>
          <w:tcPr>
            <w:tcW w:w="3413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  <w:r w:rsidRPr="003A46F1">
              <w:rPr>
                <w:sz w:val="20"/>
                <w:szCs w:val="20"/>
              </w:rPr>
              <w:t>grove motoriek</w:t>
            </w:r>
          </w:p>
        </w:tc>
        <w:tc>
          <w:tcPr>
            <w:tcW w:w="706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733" w:type="dxa"/>
          </w:tcPr>
          <w:p w:rsidR="003A46F1" w:rsidRPr="003A46F1" w:rsidRDefault="003A46F1" w:rsidP="006A33F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3A46F1" w:rsidRDefault="003A46F1" w:rsidP="003A46F1"/>
    <w:sectPr w:rsidR="003A4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E2"/>
    <w:rsid w:val="003A46F1"/>
    <w:rsid w:val="004260E2"/>
    <w:rsid w:val="00584562"/>
    <w:rsid w:val="00F6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2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60E2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3A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3A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2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60E2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3A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3A4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2023-02-15T07:53:00Z</dcterms:created>
  <dcterms:modified xsi:type="dcterms:W3CDTF">2023-02-15T08:32:00Z</dcterms:modified>
</cp:coreProperties>
</file>